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Style w:val="TableNormal"/>
        <w:tblW w:w="966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55"/>
        <w:gridCol w:w="6680"/>
      </w:tblGrid>
      <w:tr w:rsidR="00E14FDE" w:rsidRPr="007853F9" w14:paraId="6B8F6EEE" w14:textId="77777777" w:rsidTr="00686C55">
        <w:trPr>
          <w:trHeight w:val="821"/>
        </w:trPr>
        <w:tc>
          <w:tcPr>
            <w:tcW w:w="427" w:type="dxa"/>
          </w:tcPr>
          <w:p w14:paraId="7510437E" w14:textId="77777777" w:rsidR="00E14FDE" w:rsidRPr="00E14FDE" w:rsidRDefault="00E14FDE" w:rsidP="00E14FD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1</w:t>
            </w:r>
          </w:p>
        </w:tc>
        <w:tc>
          <w:tcPr>
            <w:tcW w:w="2555" w:type="dxa"/>
          </w:tcPr>
          <w:p w14:paraId="0BFA3D40" w14:textId="77777777" w:rsidR="00E14FDE" w:rsidRPr="00E14FDE" w:rsidRDefault="00E14FDE" w:rsidP="00E14FDE">
            <w:pPr>
              <w:spacing w:line="271" w:lineRule="auto"/>
              <w:ind w:left="110" w:right="413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spacing w:val="-1"/>
                <w:sz w:val="23"/>
                <w:szCs w:val="23"/>
              </w:rPr>
              <w:t xml:space="preserve">Назва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предмета</w:t>
            </w:r>
            <w:r w:rsidRPr="00E14FDE">
              <w:rPr>
                <w:rFonts w:ascii="Times New Roman" w:eastAsia="Times New Roman" w:hAnsi="Times New Roman" w:cs="Times New Roman"/>
                <w:b/>
                <w:spacing w:val="-68"/>
                <w:sz w:val="23"/>
                <w:szCs w:val="23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закупівлі</w:t>
            </w:r>
          </w:p>
        </w:tc>
        <w:tc>
          <w:tcPr>
            <w:tcW w:w="6680" w:type="dxa"/>
          </w:tcPr>
          <w:p w14:paraId="1A0C7920" w14:textId="486688F6" w:rsidR="00E14FDE" w:rsidRPr="00E14FDE" w:rsidRDefault="00B72344" w:rsidP="00E14FDE">
            <w:pPr>
              <w:adjustRightInd w:val="0"/>
              <w:ind w:left="170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723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uk-UA"/>
              </w:rPr>
              <w:t xml:space="preserve">ДК 021:2015   33120000-7 – Системи реєстрації медичної інформації та дослідне обладнання (Комплекс </w:t>
            </w:r>
            <w:proofErr w:type="gramStart"/>
            <w:r w:rsidRPr="00B723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uk-UA"/>
              </w:rPr>
              <w:t>кардіомоніторування  «</w:t>
            </w:r>
            <w:proofErr w:type="gramEnd"/>
            <w:r w:rsidRPr="00B7234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bidi="uk-UA"/>
              </w:rPr>
              <w:t>РИТМ 2000», або еквівалент)</w:t>
            </w:r>
          </w:p>
        </w:tc>
      </w:tr>
      <w:tr w:rsidR="00E14FDE" w:rsidRPr="00E14FDE" w14:paraId="4D57CB39" w14:textId="77777777" w:rsidTr="00686C55">
        <w:trPr>
          <w:trHeight w:val="566"/>
        </w:trPr>
        <w:tc>
          <w:tcPr>
            <w:tcW w:w="427" w:type="dxa"/>
          </w:tcPr>
          <w:p w14:paraId="789F840A" w14:textId="77777777" w:rsidR="00E14FDE" w:rsidRPr="00E14FDE" w:rsidRDefault="00E14FDE" w:rsidP="00E14FD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2</w:t>
            </w:r>
          </w:p>
        </w:tc>
        <w:tc>
          <w:tcPr>
            <w:tcW w:w="2555" w:type="dxa"/>
          </w:tcPr>
          <w:p w14:paraId="1A995CE9" w14:textId="77777777" w:rsidR="00E14FDE" w:rsidRPr="00E14FDE" w:rsidRDefault="00E14FDE" w:rsidP="00E14FDE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Вид</w:t>
            </w:r>
            <w:r w:rsidRPr="00E14FDE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процедури</w:t>
            </w:r>
          </w:p>
        </w:tc>
        <w:tc>
          <w:tcPr>
            <w:tcW w:w="6680" w:type="dxa"/>
          </w:tcPr>
          <w:p w14:paraId="088E1211" w14:textId="77777777" w:rsidR="00E14FDE" w:rsidRPr="007853F9" w:rsidRDefault="00E14FDE" w:rsidP="00E14FD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853F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Відкриті</w:t>
            </w:r>
            <w:r w:rsidRPr="007853F9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торги (з врахуванням Особливостей)</w:t>
            </w:r>
          </w:p>
        </w:tc>
      </w:tr>
      <w:tr w:rsidR="00E14FDE" w:rsidRPr="007853F9" w14:paraId="52B3CBC9" w14:textId="77777777" w:rsidTr="00686C55">
        <w:trPr>
          <w:trHeight w:val="700"/>
        </w:trPr>
        <w:tc>
          <w:tcPr>
            <w:tcW w:w="427" w:type="dxa"/>
          </w:tcPr>
          <w:p w14:paraId="3C1C3AA0" w14:textId="77777777" w:rsidR="00E14FDE" w:rsidRPr="00E14FDE" w:rsidRDefault="00E14FDE" w:rsidP="00E14FDE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3</w:t>
            </w:r>
          </w:p>
        </w:tc>
        <w:tc>
          <w:tcPr>
            <w:tcW w:w="2555" w:type="dxa"/>
          </w:tcPr>
          <w:p w14:paraId="2201DBB3" w14:textId="77777777" w:rsidR="00E14FDE" w:rsidRPr="00E14FDE" w:rsidRDefault="00E14FDE" w:rsidP="00E14FDE">
            <w:pPr>
              <w:spacing w:before="2" w:line="276" w:lineRule="auto"/>
              <w:ind w:left="110" w:right="413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w w:val="95"/>
                <w:sz w:val="23"/>
                <w:szCs w:val="23"/>
              </w:rPr>
              <w:t>Ідентифікатор</w:t>
            </w:r>
            <w:r w:rsidRPr="00E14FDE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3"/>
                <w:szCs w:val="23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закупівлі</w:t>
            </w:r>
          </w:p>
        </w:tc>
        <w:tc>
          <w:tcPr>
            <w:tcW w:w="6680" w:type="dxa"/>
          </w:tcPr>
          <w:p w14:paraId="3C56381F" w14:textId="5728A080" w:rsidR="00E14FDE" w:rsidRPr="00E14FDE" w:rsidRDefault="00E14FDE" w:rsidP="00E14FDE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</w:t>
            </w:r>
            <w:proofErr w:type="gramStart"/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https://prozorro.gov.ua/tender/</w:t>
            </w:r>
            <w:r w:rsidRPr="00E14FDE">
              <w:rPr>
                <w:rFonts w:ascii="Arial" w:eastAsia="Calibri" w:hAnsi="Arial" w:cs="Arial"/>
                <w:color w:val="242638"/>
                <w:sz w:val="23"/>
                <w:szCs w:val="23"/>
                <w:shd w:val="clear" w:color="auto" w:fill="FFFFFF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 </w:t>
            </w:r>
            <w:r w:rsidR="00B72344" w:rsidRPr="00EA35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uk-UA"/>
              </w:rPr>
              <w:t>UA</w:t>
            </w:r>
            <w:proofErr w:type="gramEnd"/>
            <w:r w:rsidR="00B72344" w:rsidRPr="00EA35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uk-UA"/>
              </w:rPr>
              <w:t>-2026-01-20-015308-a</w:t>
            </w:r>
          </w:p>
        </w:tc>
      </w:tr>
      <w:tr w:rsidR="00E14FDE" w:rsidRPr="00E14FDE" w14:paraId="448247AC" w14:textId="77777777" w:rsidTr="008327F1">
        <w:trPr>
          <w:trHeight w:val="3109"/>
        </w:trPr>
        <w:tc>
          <w:tcPr>
            <w:tcW w:w="427" w:type="dxa"/>
          </w:tcPr>
          <w:p w14:paraId="569DC5A5" w14:textId="77777777" w:rsidR="00E14FDE" w:rsidRPr="00E14FDE" w:rsidRDefault="00E14FDE" w:rsidP="00E14FD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4</w:t>
            </w:r>
          </w:p>
        </w:tc>
        <w:tc>
          <w:tcPr>
            <w:tcW w:w="2555" w:type="dxa"/>
          </w:tcPr>
          <w:p w14:paraId="7DB42CCB" w14:textId="77777777" w:rsidR="00E14FDE" w:rsidRPr="007853F9" w:rsidRDefault="00E14FDE" w:rsidP="00E14FDE">
            <w:pPr>
              <w:spacing w:line="276" w:lineRule="auto"/>
              <w:ind w:left="110" w:right="413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853F9">
              <w:rPr>
                <w:rFonts w:ascii="Times New Roman" w:eastAsia="Times New Roman" w:hAnsi="Times New Roman" w:cs="Times New Roman"/>
                <w:b/>
                <w:w w:val="95"/>
                <w:sz w:val="23"/>
                <w:szCs w:val="23"/>
                <w:lang w:val="ru-RU"/>
              </w:rPr>
              <w:t>Обґрунтування</w:t>
            </w:r>
            <w:r w:rsidRPr="007853F9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технічних та</w:t>
            </w:r>
            <w:r w:rsidRPr="007853F9">
              <w:rPr>
                <w:rFonts w:ascii="Times New Roman" w:eastAsia="Times New Roman" w:hAnsi="Times New Roman" w:cs="Times New Roman"/>
                <w:b/>
                <w:spacing w:val="1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якісних</w:t>
            </w:r>
            <w:r w:rsidRPr="007853F9">
              <w:rPr>
                <w:rFonts w:ascii="Times New Roman" w:eastAsia="Times New Roman" w:hAnsi="Times New Roman" w:cs="Times New Roman"/>
                <w:b/>
                <w:spacing w:val="1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характеристик</w:t>
            </w:r>
            <w:r w:rsidRPr="007853F9">
              <w:rPr>
                <w:rFonts w:ascii="Times New Roman" w:eastAsia="Times New Roman" w:hAnsi="Times New Roman" w:cs="Times New Roman"/>
                <w:b/>
                <w:spacing w:val="-67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предмета</w:t>
            </w:r>
            <w:r w:rsidRPr="007853F9">
              <w:rPr>
                <w:rFonts w:ascii="Times New Roman" w:eastAsia="Times New Roman" w:hAnsi="Times New Roman" w:cs="Times New Roman"/>
                <w:b/>
                <w:spacing w:val="1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закупівлі</w:t>
            </w:r>
          </w:p>
        </w:tc>
        <w:tc>
          <w:tcPr>
            <w:tcW w:w="6680" w:type="dxa"/>
          </w:tcPr>
          <w:p w14:paraId="2150E0F5" w14:textId="77777777" w:rsidR="00B72344" w:rsidRPr="00EA35BB" w:rsidRDefault="00B72344" w:rsidP="00B72344">
            <w:pPr>
              <w:ind w:left="161" w:right="141" w:firstLine="4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З метою підвищення якості діагностики серцево-судинних захворювань, своєчасного виявлення порушень серцевого ритму та профілактики ускладнень у пацієнтів, у закладі охорони здоров’я виникла необхідність у закупівлі апарата для добового моніторингу електрокардіограми (Холтера).</w:t>
            </w:r>
          </w:p>
          <w:p w14:paraId="36D2CA55" w14:textId="33127635" w:rsidR="00B72344" w:rsidRPr="00EA35BB" w:rsidRDefault="00B72344" w:rsidP="00B72344">
            <w:pPr>
              <w:ind w:left="161" w:right="141" w:firstLine="4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 w:bidi="uk-UA"/>
              </w:rPr>
            </w:pPr>
            <w:r w:rsidRPr="00B72344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Т</w:t>
            </w: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аким медичним обладнанням є </w:t>
            </w: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 w:bidi="uk-UA"/>
              </w:rPr>
              <w:t>Комплекс  кардіомоніторування   «РИТМ 2000», який є</w:t>
            </w: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 </w:t>
            </w: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 w:bidi="uk-UA"/>
              </w:rPr>
              <w:t>необхідним для забезпечення виконання функцій закладу охорони здоров’я відповідно до вимог чинного законодавства та сучасних стандартів медичної практики.</w:t>
            </w:r>
          </w:p>
          <w:p w14:paraId="4FA8E29D" w14:textId="77777777" w:rsidR="00B72344" w:rsidRPr="00EA35BB" w:rsidRDefault="00B72344" w:rsidP="00B72344">
            <w:pPr>
              <w:ind w:left="161" w:right="141" w:firstLine="4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Медичне обладнання призначене для безперервної реєстрації електрокардіограми пацієнта протягом 24 годин або більше в умовах звичайної життєдіяльності. Метод Холтера дозволяє отримати об’єктивну інформацію про роботу серця, виявити тимчасові порушення ритму, ішемічні зміни, епізоди аритмій та оцінити ефективність призначеного лікування.</w:t>
            </w:r>
          </w:p>
          <w:p w14:paraId="1D0A82AB" w14:textId="77777777" w:rsidR="00B72344" w:rsidRPr="00EA35BB" w:rsidRDefault="00B72344" w:rsidP="00B72344">
            <w:pPr>
              <w:ind w:left="161" w:right="141" w:firstLine="4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Використання апарата Холтера є необхідним для своєчасного виявлення серцевих патологій, які не завжди фіксуються під час стандартної ЕКГ; моніторингу стану пацієнтів із серцево-судинними захворюваннями; контролю ефективності медикаментозної терапії; визначення ризику ускладнень і раптової серцевої смерті; проведення профілактичних обстежень у групах ризику.</w:t>
            </w:r>
          </w:p>
          <w:p w14:paraId="3743A799" w14:textId="77777777" w:rsidR="00B72344" w:rsidRPr="00EA35BB" w:rsidRDefault="00B72344" w:rsidP="00B72344">
            <w:pPr>
              <w:ind w:left="161" w:right="141" w:firstLine="4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Наявність сучасного апарата добового моніторингу ЕКГ забезпечить підвищення діагностичних можливостей медичного закладу, покращить якість обстеження пацієнтів, скоротить строки встановлення діагнозу та сприятиме більш ефективному лікуванню.</w:t>
            </w:r>
          </w:p>
          <w:p w14:paraId="39816B61" w14:textId="77777777" w:rsidR="00B72344" w:rsidRPr="00EA35BB" w:rsidRDefault="00B72344" w:rsidP="00B72344">
            <w:pPr>
              <w:ind w:left="161" w:right="141" w:firstLine="4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EA35B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Закупівля апарата для добового моніторингу ЕКГ (Холтера) є обґрунтованою та необхідною для забезпечення виконання функцій закладу охорони здоров’я відповідно до вимог чинного законодавства та сучасних стандартів медичної практики.</w:t>
            </w:r>
          </w:p>
          <w:p w14:paraId="161F295B" w14:textId="0069FC02" w:rsidR="00E14FDE" w:rsidRPr="00E14FDE" w:rsidRDefault="00E14FDE" w:rsidP="00E14FDE">
            <w:pPr>
              <w:tabs>
                <w:tab w:val="left" w:pos="851"/>
              </w:tabs>
              <w:ind w:left="160" w:right="142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uk-UA"/>
              </w:rPr>
            </w:pPr>
          </w:p>
        </w:tc>
      </w:tr>
      <w:tr w:rsidR="00E14FDE" w:rsidRPr="00E14FDE" w14:paraId="4CB02E14" w14:textId="77777777" w:rsidTr="00686C55">
        <w:trPr>
          <w:trHeight w:val="1483"/>
        </w:trPr>
        <w:tc>
          <w:tcPr>
            <w:tcW w:w="427" w:type="dxa"/>
          </w:tcPr>
          <w:p w14:paraId="5504737D" w14:textId="77777777" w:rsidR="00E14FDE" w:rsidRPr="00E14FDE" w:rsidRDefault="00E14FDE" w:rsidP="00E14FD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14FDE">
              <w:rPr>
                <w:rFonts w:ascii="Times New Roman" w:eastAsia="Times New Roman" w:hAnsi="Times New Roman" w:cs="Times New Roman"/>
                <w:w w:val="99"/>
                <w:sz w:val="23"/>
                <w:szCs w:val="23"/>
                <w:lang w:val="uk-UA"/>
              </w:rPr>
              <w:t>5</w:t>
            </w:r>
          </w:p>
        </w:tc>
        <w:tc>
          <w:tcPr>
            <w:tcW w:w="2555" w:type="dxa"/>
          </w:tcPr>
          <w:p w14:paraId="26CF72BB" w14:textId="77777777" w:rsidR="00E14FDE" w:rsidRPr="00E14FDE" w:rsidRDefault="00E14FDE" w:rsidP="00E14FDE">
            <w:pPr>
              <w:spacing w:line="278" w:lineRule="auto"/>
              <w:ind w:left="110" w:right="413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w w:val="95"/>
                <w:sz w:val="23"/>
                <w:szCs w:val="23"/>
                <w:lang w:val="uk-UA"/>
              </w:rPr>
              <w:t>Обґрунтування</w:t>
            </w:r>
            <w:r w:rsidRPr="00E14FDE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3"/>
                <w:szCs w:val="23"/>
                <w:lang w:val="uk-UA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розміру</w:t>
            </w:r>
            <w:r w:rsidRPr="00E14FDE">
              <w:rPr>
                <w:rFonts w:ascii="Times New Roman" w:eastAsia="Times New Roman" w:hAnsi="Times New Roman" w:cs="Times New Roman"/>
                <w:b/>
                <w:spacing w:val="1"/>
                <w:sz w:val="23"/>
                <w:szCs w:val="23"/>
                <w:lang w:val="uk-UA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бюджетного</w:t>
            </w:r>
          </w:p>
          <w:p w14:paraId="7F712E1F" w14:textId="77777777" w:rsidR="00E14FDE" w:rsidRPr="00E14FDE" w:rsidRDefault="00E14FDE" w:rsidP="00E14FDE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призначення</w:t>
            </w:r>
          </w:p>
        </w:tc>
        <w:tc>
          <w:tcPr>
            <w:tcW w:w="6680" w:type="dxa"/>
          </w:tcPr>
          <w:p w14:paraId="34035253" w14:textId="6A84DA6D" w:rsidR="00E14FDE" w:rsidRPr="00E14FDE" w:rsidRDefault="00E14FDE" w:rsidP="008327F1">
            <w:pPr>
              <w:ind w:left="170" w:right="154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uk-UA"/>
              </w:rPr>
            </w:pPr>
            <w:r w:rsidRPr="00E14FD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uk-UA"/>
              </w:rPr>
              <w:t xml:space="preserve"> Джерело фінансування: </w:t>
            </w:r>
          </w:p>
          <w:p w14:paraId="7E7A05C0" w14:textId="263AA712" w:rsidR="00E14FDE" w:rsidRPr="00E14FDE" w:rsidRDefault="00E14FDE" w:rsidP="00E14FDE">
            <w:pPr>
              <w:ind w:left="160" w:right="283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uk-UA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/>
              </w:rPr>
              <w:t>Власний бюджет</w:t>
            </w:r>
            <w:r w:rsidRPr="00E14FD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 </w:t>
            </w:r>
            <w:r w:rsidR="00B72344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 </w:t>
            </w:r>
            <w:r w:rsidR="007853F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(</w:t>
            </w:r>
            <w:r w:rsidR="00B72344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за рахунок надання платних послуг</w:t>
            </w:r>
            <w:r w:rsidR="007853F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)</w:t>
            </w:r>
            <w:bookmarkStart w:id="0" w:name="_GoBack"/>
            <w:bookmarkEnd w:id="0"/>
            <w:r w:rsidR="00B72344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uk-UA"/>
              </w:rPr>
              <w:t>-1</w:t>
            </w:r>
            <w:r w:rsidR="00B72344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>8</w:t>
            </w:r>
            <w:r w:rsidRPr="00E14FD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uk-UA"/>
              </w:rPr>
              <w:t>0000,00 грн</w:t>
            </w:r>
          </w:p>
          <w:p w14:paraId="2A3BA185" w14:textId="77777777" w:rsidR="00E14FDE" w:rsidRPr="00E14FDE" w:rsidRDefault="00E14FDE" w:rsidP="00E14FDE">
            <w:pPr>
              <w:ind w:left="170" w:right="15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E14FDE" w:rsidRPr="00E14FDE" w14:paraId="25278F44" w14:textId="77777777" w:rsidTr="00686C55">
        <w:trPr>
          <w:trHeight w:val="1113"/>
        </w:trPr>
        <w:tc>
          <w:tcPr>
            <w:tcW w:w="427" w:type="dxa"/>
          </w:tcPr>
          <w:p w14:paraId="1DE4890A" w14:textId="77777777" w:rsidR="00E14FDE" w:rsidRPr="00E14FDE" w:rsidRDefault="00E14FDE" w:rsidP="00E14FD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6</w:t>
            </w:r>
          </w:p>
        </w:tc>
        <w:tc>
          <w:tcPr>
            <w:tcW w:w="2555" w:type="dxa"/>
          </w:tcPr>
          <w:p w14:paraId="6369FAF4" w14:textId="77777777" w:rsidR="00E14FDE" w:rsidRPr="00E14FDE" w:rsidRDefault="00E14FDE" w:rsidP="00E14FDE">
            <w:pPr>
              <w:ind w:left="108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Очікувана</w:t>
            </w:r>
          </w:p>
          <w:p w14:paraId="73CD56ED" w14:textId="77777777" w:rsidR="00E14FDE" w:rsidRPr="00E14FDE" w:rsidRDefault="00E14FDE" w:rsidP="00E14FDE">
            <w:pPr>
              <w:ind w:left="108" w:right="115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вартість</w:t>
            </w:r>
            <w:r w:rsidRPr="00E14FDE">
              <w:rPr>
                <w:rFonts w:ascii="Times New Roman" w:eastAsia="Times New Roman" w:hAnsi="Times New Roman" w:cs="Times New Roman"/>
                <w:b/>
                <w:spacing w:val="-18"/>
                <w:sz w:val="23"/>
                <w:szCs w:val="23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предмета</w:t>
            </w:r>
            <w:r w:rsidRPr="00E14FDE">
              <w:rPr>
                <w:rFonts w:ascii="Times New Roman" w:eastAsia="Times New Roman" w:hAnsi="Times New Roman" w:cs="Times New Roman"/>
                <w:b/>
                <w:spacing w:val="-67"/>
                <w:sz w:val="23"/>
                <w:szCs w:val="23"/>
              </w:rPr>
              <w:t xml:space="preserve"> </w:t>
            </w:r>
            <w:r w:rsidRPr="00E14FD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закупівлі</w:t>
            </w:r>
          </w:p>
        </w:tc>
        <w:tc>
          <w:tcPr>
            <w:tcW w:w="6680" w:type="dxa"/>
          </w:tcPr>
          <w:p w14:paraId="278CBEB5" w14:textId="77777777" w:rsidR="00E14FDE" w:rsidRPr="00E14FDE" w:rsidRDefault="00E14FDE" w:rsidP="00E14FDE">
            <w:pPr>
              <w:spacing w:line="276" w:lineRule="auto"/>
              <w:ind w:left="110" w:right="154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</w:p>
          <w:p w14:paraId="5D7CDBED" w14:textId="6359662C" w:rsidR="00E14FDE" w:rsidRPr="00E14FDE" w:rsidRDefault="00E14FDE" w:rsidP="00E14FDE">
            <w:pPr>
              <w:spacing w:line="276" w:lineRule="auto"/>
              <w:ind w:left="1211" w:right="154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ru-RU"/>
              </w:rPr>
            </w:pPr>
            <w:r w:rsidRPr="00E14FD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ru-RU"/>
              </w:rPr>
              <w:t xml:space="preserve">Очікувана сума </w:t>
            </w:r>
            <w:proofErr w:type="gramStart"/>
            <w:r w:rsidRPr="00E14FD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ru-RU"/>
              </w:rPr>
              <w:t>закупівлі:  1</w:t>
            </w:r>
            <w:r w:rsidR="00B72344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uk-UA"/>
              </w:rPr>
              <w:t>8</w:t>
            </w:r>
            <w:r w:rsidRPr="00E14FD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ru-RU"/>
              </w:rPr>
              <w:t>0000</w:t>
            </w:r>
            <w:proofErr w:type="gramEnd"/>
            <w:r w:rsidRPr="00E14FD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val="ru-RU"/>
              </w:rPr>
              <w:t>,00 (з ПДВ)</w:t>
            </w:r>
          </w:p>
          <w:p w14:paraId="1A0DF974" w14:textId="77777777" w:rsidR="00E14FDE" w:rsidRPr="00E14FDE" w:rsidRDefault="00E14FDE" w:rsidP="00E14FDE">
            <w:pPr>
              <w:spacing w:line="276" w:lineRule="auto"/>
              <w:ind w:right="15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E14FDE" w:rsidRPr="007853F9" w14:paraId="1931EF5F" w14:textId="77777777" w:rsidTr="00686C55">
        <w:trPr>
          <w:trHeight w:val="1125"/>
        </w:trPr>
        <w:tc>
          <w:tcPr>
            <w:tcW w:w="427" w:type="dxa"/>
          </w:tcPr>
          <w:p w14:paraId="79AFD90D" w14:textId="77777777" w:rsidR="00E14FDE" w:rsidRPr="00E14FDE" w:rsidRDefault="00E14FDE" w:rsidP="00E14FDE">
            <w:pPr>
              <w:spacing w:line="310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4FDE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lastRenderedPageBreak/>
              <w:t>7</w:t>
            </w:r>
          </w:p>
        </w:tc>
        <w:tc>
          <w:tcPr>
            <w:tcW w:w="2555" w:type="dxa"/>
          </w:tcPr>
          <w:p w14:paraId="6A26AE26" w14:textId="77777777" w:rsidR="00E14FDE" w:rsidRPr="007853F9" w:rsidRDefault="00E14FDE" w:rsidP="00E14FDE">
            <w:pPr>
              <w:spacing w:line="276" w:lineRule="auto"/>
              <w:ind w:left="110" w:right="413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853F9">
              <w:rPr>
                <w:rFonts w:ascii="Times New Roman" w:eastAsia="Times New Roman" w:hAnsi="Times New Roman" w:cs="Times New Roman"/>
                <w:b/>
                <w:w w:val="95"/>
                <w:sz w:val="23"/>
                <w:szCs w:val="23"/>
                <w:lang w:val="ru-RU"/>
              </w:rPr>
              <w:t>Обґрунтування</w:t>
            </w:r>
            <w:r w:rsidRPr="007853F9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очікуваної</w:t>
            </w:r>
          </w:p>
          <w:p w14:paraId="68F3CD55" w14:textId="77777777" w:rsidR="00E14FDE" w:rsidRPr="007853F9" w:rsidRDefault="00E14FDE" w:rsidP="00E14FDE">
            <w:pPr>
              <w:spacing w:line="271" w:lineRule="auto"/>
              <w:ind w:left="110" w:right="123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вартості</w:t>
            </w:r>
            <w:r w:rsidRPr="007853F9">
              <w:rPr>
                <w:rFonts w:ascii="Times New Roman" w:eastAsia="Times New Roman" w:hAnsi="Times New Roman" w:cs="Times New Roman"/>
                <w:b/>
                <w:spacing w:val="-18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предмета</w:t>
            </w:r>
            <w:r w:rsidRPr="007853F9">
              <w:rPr>
                <w:rFonts w:ascii="Times New Roman" w:eastAsia="Times New Roman" w:hAnsi="Times New Roman" w:cs="Times New Roman"/>
                <w:b/>
                <w:spacing w:val="-67"/>
                <w:sz w:val="23"/>
                <w:szCs w:val="23"/>
                <w:lang w:val="ru-RU"/>
              </w:rPr>
              <w:t xml:space="preserve"> </w:t>
            </w:r>
            <w:r w:rsidRPr="007853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закупівлі</w:t>
            </w:r>
          </w:p>
        </w:tc>
        <w:tc>
          <w:tcPr>
            <w:tcW w:w="6680" w:type="dxa"/>
          </w:tcPr>
          <w:p w14:paraId="6C191470" w14:textId="1C4309DC" w:rsidR="00E14FDE" w:rsidRPr="00E14FDE" w:rsidRDefault="008327F1" w:rsidP="008327F1">
            <w:pPr>
              <w:tabs>
                <w:tab w:val="left" w:pos="274"/>
              </w:tabs>
              <w:spacing w:before="53"/>
              <w:ind w:left="170" w:right="15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8327F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Визначення очікуваної вартості предмета закупівлі обумовлено аналізом загальнодоступної інформації про ціну предмету закупівлі відповідно до Наказу Міністерства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8327F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розвитку економіки, торгівлі та сільського господарства України “Про затвердження примірної методики визначення очікуваної вартості предмета закупівлі» від 18.02.2020 № 275 (зі змінами). Розрахунок очікуваної вартості предмета Закупівлі здійснюється методом порівняння ринкових цін, також було проведено моніторинг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 тощо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</w:tbl>
    <w:p w14:paraId="2BB8CB88" w14:textId="77777777" w:rsidR="00E14FDE" w:rsidRPr="00E14FDE" w:rsidRDefault="00E14FDE" w:rsidP="00E14FDE">
      <w:pPr>
        <w:spacing w:line="256" w:lineRule="auto"/>
        <w:rPr>
          <w:rFonts w:ascii="Calibri" w:eastAsia="Calibri" w:hAnsi="Calibri" w:cs="Times New Roman"/>
          <w:lang w:val="uk-UA"/>
        </w:rPr>
      </w:pPr>
    </w:p>
    <w:p w14:paraId="26172037" w14:textId="77777777" w:rsidR="005330DF" w:rsidRDefault="005330D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sectPr w:rsidR="005330DF" w:rsidSect="00B408F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733D2F"/>
    <w:multiLevelType w:val="hybridMultilevel"/>
    <w:tmpl w:val="F95CED90"/>
    <w:lvl w:ilvl="0" w:tplc="C960F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16D61"/>
    <w:rsid w:val="000977F4"/>
    <w:rsid w:val="001547E5"/>
    <w:rsid w:val="00157E44"/>
    <w:rsid w:val="0017402E"/>
    <w:rsid w:val="0017526D"/>
    <w:rsid w:val="001A133E"/>
    <w:rsid w:val="001A218B"/>
    <w:rsid w:val="001D7E09"/>
    <w:rsid w:val="001F5E28"/>
    <w:rsid w:val="002563DC"/>
    <w:rsid w:val="00286E57"/>
    <w:rsid w:val="002923D8"/>
    <w:rsid w:val="00295693"/>
    <w:rsid w:val="00307B7B"/>
    <w:rsid w:val="00360578"/>
    <w:rsid w:val="0039653A"/>
    <w:rsid w:val="003A760C"/>
    <w:rsid w:val="00453082"/>
    <w:rsid w:val="00463ED1"/>
    <w:rsid w:val="004D5252"/>
    <w:rsid w:val="005147B6"/>
    <w:rsid w:val="005330DF"/>
    <w:rsid w:val="005357E2"/>
    <w:rsid w:val="00535EF9"/>
    <w:rsid w:val="00547C6B"/>
    <w:rsid w:val="00564F44"/>
    <w:rsid w:val="00585F3A"/>
    <w:rsid w:val="005A1C06"/>
    <w:rsid w:val="005A68C7"/>
    <w:rsid w:val="005E1EB7"/>
    <w:rsid w:val="006009EA"/>
    <w:rsid w:val="0063203E"/>
    <w:rsid w:val="006322BF"/>
    <w:rsid w:val="0065353B"/>
    <w:rsid w:val="0066318B"/>
    <w:rsid w:val="00703A21"/>
    <w:rsid w:val="007145C5"/>
    <w:rsid w:val="007853F9"/>
    <w:rsid w:val="00792B66"/>
    <w:rsid w:val="007A1CB7"/>
    <w:rsid w:val="007B2CE3"/>
    <w:rsid w:val="00823FCF"/>
    <w:rsid w:val="00830B70"/>
    <w:rsid w:val="008327F1"/>
    <w:rsid w:val="008507D2"/>
    <w:rsid w:val="008656B8"/>
    <w:rsid w:val="00976D33"/>
    <w:rsid w:val="009B52C6"/>
    <w:rsid w:val="00A0628E"/>
    <w:rsid w:val="00A13261"/>
    <w:rsid w:val="00A3220B"/>
    <w:rsid w:val="00A601AC"/>
    <w:rsid w:val="00A64FBD"/>
    <w:rsid w:val="00A967DA"/>
    <w:rsid w:val="00A9778B"/>
    <w:rsid w:val="00AD5668"/>
    <w:rsid w:val="00AE152E"/>
    <w:rsid w:val="00B31CE9"/>
    <w:rsid w:val="00B408F3"/>
    <w:rsid w:val="00B72344"/>
    <w:rsid w:val="00BD0F6F"/>
    <w:rsid w:val="00BD1539"/>
    <w:rsid w:val="00C05762"/>
    <w:rsid w:val="00C35995"/>
    <w:rsid w:val="00C41549"/>
    <w:rsid w:val="00C56391"/>
    <w:rsid w:val="00C96088"/>
    <w:rsid w:val="00CB7063"/>
    <w:rsid w:val="00CE01C1"/>
    <w:rsid w:val="00CF0EC4"/>
    <w:rsid w:val="00D4621B"/>
    <w:rsid w:val="00D70024"/>
    <w:rsid w:val="00D72C1F"/>
    <w:rsid w:val="00D772F0"/>
    <w:rsid w:val="00DA4783"/>
    <w:rsid w:val="00DB7A4E"/>
    <w:rsid w:val="00DF2C15"/>
    <w:rsid w:val="00E01C1A"/>
    <w:rsid w:val="00E04559"/>
    <w:rsid w:val="00E07285"/>
    <w:rsid w:val="00E14FDE"/>
    <w:rsid w:val="00E45F0B"/>
    <w:rsid w:val="00E7259D"/>
    <w:rsid w:val="00EA35BB"/>
    <w:rsid w:val="00EE46F3"/>
    <w:rsid w:val="00EF0CE4"/>
    <w:rsid w:val="00F71C82"/>
    <w:rsid w:val="00FA138E"/>
    <w:rsid w:val="00F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14F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0A5-A8D9-497E-B2AA-FBECAF44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Жанна</cp:lastModifiedBy>
  <cp:revision>4</cp:revision>
  <cp:lastPrinted>2023-09-05T07:33:00Z</cp:lastPrinted>
  <dcterms:created xsi:type="dcterms:W3CDTF">2026-01-05T15:06:00Z</dcterms:created>
  <dcterms:modified xsi:type="dcterms:W3CDTF">2026-01-26T14:19:00Z</dcterms:modified>
</cp:coreProperties>
</file>